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Arial"/>
          <w:color w:val="000000"/>
          <w:sz w:val="28"/>
          <w:szCs w:val="28"/>
        </w:rPr>
      </w:pPr>
      <w:r>
        <w:rPr>
          <w:rFonts w:hint="eastAsia" w:cs="Arial"/>
          <w:color w:val="000000"/>
          <w:sz w:val="28"/>
          <w:szCs w:val="28"/>
        </w:rPr>
        <w:t>全自动微生物联合检测（真菌项目）</w:t>
      </w:r>
      <w:r>
        <w:rPr>
          <w:rFonts w:hint="eastAsia" w:cs="Arial"/>
          <w:color w:val="000000"/>
          <w:sz w:val="28"/>
          <w:szCs w:val="28"/>
        </w:rPr>
        <w:t>及配套设备竞价谈判公告</w:t>
      </w:r>
    </w:p>
    <w:p>
      <w:pPr>
        <w:spacing w:line="360" w:lineRule="auto"/>
        <w:ind w:firstLine="480" w:firstLineChars="200"/>
        <w:rPr>
          <w:rFonts w:cs="Arial"/>
          <w:color w:val="000000"/>
          <w:sz w:val="24"/>
        </w:rPr>
      </w:pPr>
      <w:bookmarkStart w:id="0" w:name="_GoBack"/>
      <w:r>
        <w:rPr>
          <w:rFonts w:hint="eastAsia" w:cs="Arial"/>
          <w:color w:val="000000"/>
          <w:sz w:val="24"/>
        </w:rPr>
        <w:t>根据国家相关法律法规的规定和《皖医二附院采购管理办法》，依照公开、公平、公正的原则，现对我院</w:t>
      </w:r>
      <w:r>
        <w:rPr>
          <w:rFonts w:hint="eastAsia" w:cs="Arial"/>
          <w:color w:val="000000"/>
          <w:sz w:val="24"/>
        </w:rPr>
        <w:t>全自动微生物联合检测（真菌项目）及配套设备拟</w:t>
      </w:r>
      <w:r>
        <w:rPr>
          <w:rFonts w:hint="eastAsia" w:cs="Arial"/>
          <w:color w:val="000000"/>
          <w:sz w:val="24"/>
        </w:rPr>
        <w:t>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一、谈判编号：2021-06</w:t>
      </w:r>
      <w:r>
        <w:rPr>
          <w:rFonts w:hint="eastAsia" w:cs="Arial"/>
          <w:color w:val="000000"/>
          <w:sz w:val="24"/>
          <w:lang w:val="en-US" w:eastAsia="zh-CN"/>
        </w:rPr>
        <w:t>9</w:t>
      </w:r>
      <w:r>
        <w:rPr>
          <w:rFonts w:hint="eastAsia" w:cs="Arial"/>
          <w:color w:val="000000"/>
          <w:sz w:val="24"/>
        </w:rPr>
        <w:t>；</w:t>
      </w:r>
    </w:p>
    <w:p>
      <w:pPr>
        <w:spacing w:line="360" w:lineRule="auto"/>
        <w:rPr>
          <w:rFonts w:cs="Arial"/>
          <w:color w:val="000000"/>
          <w:sz w:val="24"/>
        </w:rPr>
      </w:pPr>
      <w:r>
        <w:rPr>
          <w:rFonts w:hint="eastAsia" w:cs="Arial"/>
          <w:color w:val="000000"/>
          <w:sz w:val="24"/>
        </w:rPr>
        <w:t>二、采购内容：</w:t>
      </w:r>
    </w:p>
    <w:tbl>
      <w:tblPr>
        <w:tblStyle w:val="4"/>
        <w:tblW w:w="4804"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3706"/>
        <w:gridCol w:w="1640"/>
        <w:gridCol w:w="2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457" w:type="pct"/>
            <w:vAlign w:val="center"/>
          </w:tcPr>
          <w:p>
            <w:pPr>
              <w:spacing w:line="360" w:lineRule="auto"/>
              <w:jc w:val="center"/>
              <w:rPr>
                <w:rFonts w:cs="Arial"/>
                <w:color w:val="000000"/>
                <w:sz w:val="24"/>
              </w:rPr>
            </w:pPr>
            <w:r>
              <w:rPr>
                <w:rFonts w:hint="eastAsia" w:cs="Arial"/>
                <w:color w:val="000000"/>
                <w:sz w:val="24"/>
              </w:rPr>
              <w:t>序号</w:t>
            </w:r>
          </w:p>
        </w:tc>
        <w:tc>
          <w:tcPr>
            <w:tcW w:w="2262" w:type="pct"/>
            <w:vAlign w:val="center"/>
          </w:tcPr>
          <w:p>
            <w:pPr>
              <w:spacing w:line="360" w:lineRule="auto"/>
              <w:jc w:val="center"/>
              <w:rPr>
                <w:rFonts w:cs="Arial"/>
                <w:color w:val="000000"/>
                <w:sz w:val="24"/>
              </w:rPr>
            </w:pPr>
            <w:r>
              <w:rPr>
                <w:rFonts w:hint="eastAsia" w:cs="Arial"/>
                <w:color w:val="000000"/>
                <w:sz w:val="24"/>
              </w:rPr>
              <w:t>项目名称</w:t>
            </w:r>
          </w:p>
        </w:tc>
        <w:tc>
          <w:tcPr>
            <w:tcW w:w="1001" w:type="pct"/>
            <w:vAlign w:val="center"/>
          </w:tcPr>
          <w:p>
            <w:pPr>
              <w:jc w:val="center"/>
              <w:textAlignment w:val="center"/>
              <w:rPr>
                <w:rFonts w:hint="eastAsia" w:cs="Arial"/>
                <w:color w:val="000000"/>
                <w:sz w:val="24"/>
              </w:rPr>
            </w:pPr>
            <w:r>
              <w:rPr>
                <w:rFonts w:hint="eastAsia" w:cs="Arial"/>
                <w:color w:val="000000"/>
                <w:sz w:val="24"/>
              </w:rPr>
              <w:t>年用量</w:t>
            </w:r>
          </w:p>
          <w:p>
            <w:pPr>
              <w:jc w:val="center"/>
              <w:textAlignment w:val="center"/>
              <w:rPr>
                <w:rFonts w:cs="Arial"/>
                <w:color w:val="000000"/>
                <w:sz w:val="24"/>
              </w:rPr>
            </w:pPr>
            <w:r>
              <w:rPr>
                <w:rFonts w:hint="eastAsia" w:cs="Arial"/>
                <w:color w:val="000000"/>
                <w:sz w:val="24"/>
              </w:rPr>
              <w:t>(数量)</w:t>
            </w:r>
          </w:p>
        </w:tc>
        <w:tc>
          <w:tcPr>
            <w:tcW w:w="1278" w:type="pct"/>
            <w:vAlign w:val="center"/>
          </w:tcPr>
          <w:p>
            <w:pPr>
              <w:jc w:val="center"/>
              <w:textAlignment w:val="center"/>
              <w:rPr>
                <w:rFonts w:hint="eastAsia" w:cs="Arial"/>
                <w:color w:val="000000"/>
                <w:sz w:val="24"/>
              </w:rPr>
            </w:pPr>
            <w:r>
              <w:rPr>
                <w:rFonts w:hint="eastAsia" w:cs="Arial"/>
                <w:color w:val="000000"/>
                <w:sz w:val="24"/>
              </w:rPr>
              <w:t>技术参数</w:t>
            </w:r>
          </w:p>
          <w:p>
            <w:pPr>
              <w:jc w:val="center"/>
              <w:textAlignment w:val="center"/>
              <w:rPr>
                <w:rFonts w:cs="Arial"/>
                <w:color w:val="000000"/>
                <w:sz w:val="24"/>
              </w:rPr>
            </w:pPr>
            <w:r>
              <w:rPr>
                <w:rFonts w:hint="eastAsia" w:cs="Arial"/>
                <w:color w:val="000000"/>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457" w:type="pct"/>
            <w:vMerge w:val="restart"/>
            <w:vAlign w:val="center"/>
          </w:tcPr>
          <w:p>
            <w:pPr>
              <w:jc w:val="center"/>
              <w:textAlignment w:val="center"/>
              <w:rPr>
                <w:rFonts w:cs="Arial"/>
                <w:color w:val="000000"/>
                <w:sz w:val="24"/>
              </w:rPr>
            </w:pPr>
          </w:p>
          <w:p>
            <w:pPr>
              <w:jc w:val="center"/>
              <w:textAlignment w:val="center"/>
              <w:rPr>
                <w:rFonts w:cs="Arial"/>
                <w:color w:val="000000"/>
                <w:sz w:val="24"/>
              </w:rPr>
            </w:pPr>
            <w:r>
              <w:rPr>
                <w:rFonts w:hint="eastAsia" w:cs="Arial"/>
                <w:color w:val="000000"/>
                <w:sz w:val="24"/>
              </w:rPr>
              <w:t>1</w:t>
            </w:r>
          </w:p>
          <w:p>
            <w:pPr>
              <w:jc w:val="center"/>
              <w:textAlignment w:val="center"/>
              <w:rPr>
                <w:rFonts w:cs="Arial"/>
                <w:color w:val="000000"/>
                <w:sz w:val="24"/>
              </w:rPr>
            </w:pPr>
          </w:p>
        </w:tc>
        <w:tc>
          <w:tcPr>
            <w:tcW w:w="2262" w:type="pct"/>
            <w:vAlign w:val="center"/>
          </w:tcPr>
          <w:p>
            <w:pPr>
              <w:jc w:val="center"/>
              <w:textAlignment w:val="center"/>
              <w:rPr>
                <w:rFonts w:cs="Arial"/>
                <w:color w:val="000000"/>
                <w:sz w:val="24"/>
              </w:rPr>
            </w:pPr>
            <w:r>
              <w:rPr>
                <w:rFonts w:ascii="宋体" w:hAnsi="宋体" w:cs="宋体"/>
                <w:sz w:val="24"/>
                <w:szCs w:val="24"/>
                <w:lang w:val="en-US" w:eastAsia="zh-CN"/>
              </w:rPr>
              <w:t>革兰氏阴性菌脂多糖（内毒素）检测试剂盒</w:t>
            </w:r>
          </w:p>
        </w:tc>
        <w:tc>
          <w:tcPr>
            <w:tcW w:w="1001" w:type="pct"/>
            <w:vAlign w:val="center"/>
          </w:tcPr>
          <w:p>
            <w:pPr>
              <w:jc w:val="center"/>
              <w:textAlignment w:val="center"/>
              <w:rPr>
                <w:rFonts w:cs="Arial"/>
                <w:color w:val="000000"/>
                <w:sz w:val="24"/>
              </w:rPr>
            </w:pPr>
          </w:p>
        </w:tc>
        <w:tc>
          <w:tcPr>
            <w:tcW w:w="1278" w:type="pct"/>
            <w:vMerge w:val="restart"/>
            <w:vAlign w:val="center"/>
          </w:tcPr>
          <w:p>
            <w:pPr>
              <w:jc w:val="center"/>
              <w:textAlignment w:val="center"/>
              <w:rPr>
                <w:rFonts w:cs="Arial"/>
                <w:color w:val="000000"/>
                <w:sz w:val="24"/>
              </w:rPr>
            </w:pPr>
            <w:r>
              <w:rPr>
                <w:rFonts w:hint="eastAsia" w:cs="Arial"/>
                <w:color w:val="000000"/>
                <w:sz w:val="24"/>
              </w:rPr>
              <w:t>见附件4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57" w:type="pct"/>
            <w:vMerge w:val="continue"/>
            <w:tcBorders/>
            <w:vAlign w:val="center"/>
          </w:tcPr>
          <w:p>
            <w:pPr>
              <w:jc w:val="center"/>
              <w:textAlignment w:val="center"/>
              <w:rPr>
                <w:rFonts w:cs="Arial"/>
                <w:color w:val="000000"/>
                <w:sz w:val="24"/>
              </w:rPr>
            </w:pPr>
          </w:p>
        </w:tc>
        <w:tc>
          <w:tcPr>
            <w:tcW w:w="2262" w:type="pct"/>
            <w:vAlign w:val="center"/>
          </w:tcPr>
          <w:p>
            <w:pPr>
              <w:pStyle w:val="8"/>
              <w:numPr>
                <w:ilvl w:val="0"/>
                <w:numId w:val="0"/>
              </w:numPr>
              <w:bidi w:val="0"/>
              <w:jc w:val="center"/>
              <w:rPr>
                <w:rFonts w:cs="Arial"/>
                <w:color w:val="000000"/>
                <w:sz w:val="24"/>
              </w:rPr>
            </w:pPr>
            <w:r>
              <w:rPr>
                <w:rFonts w:ascii="宋体" w:hAnsi="宋体" w:eastAsia="微软雅黑" w:cs="宋体"/>
                <w:color w:val="auto"/>
                <w:kern w:val="0"/>
                <w:sz w:val="24"/>
                <w:szCs w:val="24"/>
                <w:lang w:val="en-US" w:eastAsia="zh-CN" w:bidi="ar-SA"/>
              </w:rPr>
              <w:t>真菌(1,3)-β-D 葡聚糖检测（G 试验）试剂盒</w:t>
            </w:r>
          </w:p>
        </w:tc>
        <w:tc>
          <w:tcPr>
            <w:tcW w:w="1001" w:type="pct"/>
            <w:vAlign w:val="center"/>
          </w:tcPr>
          <w:p>
            <w:pPr>
              <w:jc w:val="center"/>
              <w:textAlignment w:val="center"/>
              <w:rPr>
                <w:rFonts w:cs="Arial"/>
                <w:color w:val="000000"/>
                <w:sz w:val="24"/>
              </w:rPr>
            </w:pPr>
          </w:p>
        </w:tc>
        <w:tc>
          <w:tcPr>
            <w:tcW w:w="1278" w:type="pct"/>
            <w:vMerge w:val="continue"/>
            <w:tcBorders/>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57" w:type="pct"/>
            <w:vMerge w:val="continue"/>
            <w:tcBorders/>
            <w:vAlign w:val="center"/>
          </w:tcPr>
          <w:p>
            <w:pPr>
              <w:jc w:val="center"/>
              <w:textAlignment w:val="center"/>
              <w:rPr>
                <w:rFonts w:cs="Arial"/>
                <w:color w:val="000000"/>
                <w:sz w:val="24"/>
              </w:rPr>
            </w:pPr>
          </w:p>
        </w:tc>
        <w:tc>
          <w:tcPr>
            <w:tcW w:w="2262" w:type="pct"/>
            <w:vAlign w:val="center"/>
          </w:tcPr>
          <w:p>
            <w:pPr>
              <w:pStyle w:val="8"/>
              <w:numPr>
                <w:ilvl w:val="0"/>
                <w:numId w:val="0"/>
              </w:numPr>
              <w:bidi w:val="0"/>
              <w:jc w:val="center"/>
              <w:rPr>
                <w:rFonts w:ascii="宋体" w:hAnsi="宋体" w:eastAsia="微软雅黑" w:cs="宋体"/>
                <w:color w:val="auto"/>
                <w:kern w:val="0"/>
                <w:sz w:val="24"/>
                <w:szCs w:val="24"/>
                <w:lang w:val="en-US" w:eastAsia="zh-CN" w:bidi="ar-SA"/>
              </w:rPr>
            </w:pPr>
            <w:r>
              <w:rPr>
                <w:rFonts w:ascii="宋体" w:hAnsi="宋体" w:eastAsia="微软雅黑" w:cs="宋体"/>
                <w:color w:val="auto"/>
                <w:kern w:val="0"/>
                <w:sz w:val="24"/>
                <w:szCs w:val="24"/>
                <w:lang w:val="en-US" w:eastAsia="zh-CN" w:bidi="ar-SA"/>
              </w:rPr>
              <w:t>曲霉菌半乳甘露聚糖检测（GM 试验）试剂盒</w:t>
            </w:r>
          </w:p>
        </w:tc>
        <w:tc>
          <w:tcPr>
            <w:tcW w:w="1001" w:type="pct"/>
            <w:vAlign w:val="center"/>
          </w:tcPr>
          <w:p>
            <w:pPr>
              <w:jc w:val="center"/>
              <w:textAlignment w:val="center"/>
              <w:rPr>
                <w:rFonts w:hint="eastAsia" w:cs="Arial"/>
                <w:color w:val="000000"/>
                <w:sz w:val="24"/>
              </w:rPr>
            </w:pPr>
          </w:p>
        </w:tc>
        <w:tc>
          <w:tcPr>
            <w:tcW w:w="1278" w:type="pct"/>
            <w:vMerge w:val="continue"/>
            <w:tcBorders/>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57" w:type="pct"/>
            <w:vMerge w:val="continue"/>
            <w:tcBorders/>
            <w:vAlign w:val="center"/>
          </w:tcPr>
          <w:p>
            <w:pPr>
              <w:jc w:val="center"/>
              <w:textAlignment w:val="center"/>
              <w:rPr>
                <w:rFonts w:cs="Arial"/>
                <w:color w:val="000000"/>
                <w:sz w:val="24"/>
              </w:rPr>
            </w:pPr>
          </w:p>
        </w:tc>
        <w:tc>
          <w:tcPr>
            <w:tcW w:w="2262" w:type="pct"/>
            <w:vAlign w:val="center"/>
          </w:tcPr>
          <w:p>
            <w:pPr>
              <w:pStyle w:val="8"/>
              <w:numPr>
                <w:ilvl w:val="0"/>
                <w:numId w:val="0"/>
              </w:numPr>
              <w:bidi w:val="0"/>
              <w:jc w:val="center"/>
              <w:rPr>
                <w:rFonts w:hint="default" w:ascii="宋体" w:hAnsi="宋体" w:eastAsia="微软雅黑" w:cs="宋体"/>
                <w:color w:val="auto"/>
                <w:kern w:val="0"/>
                <w:sz w:val="24"/>
                <w:szCs w:val="24"/>
                <w:lang w:val="en-US" w:eastAsia="zh-CN" w:bidi="ar-SA"/>
              </w:rPr>
            </w:pPr>
            <w:r>
              <w:rPr>
                <w:rFonts w:ascii="宋体" w:hAnsi="宋体" w:eastAsia="微软雅黑" w:cs="宋体"/>
                <w:color w:val="auto"/>
                <w:kern w:val="0"/>
                <w:sz w:val="24"/>
                <w:szCs w:val="24"/>
                <w:lang w:val="en-US" w:eastAsia="zh-CN" w:bidi="ar-SA"/>
              </w:rPr>
              <w:t>曲霉菌抗体 IgG检测试剂</w:t>
            </w:r>
            <w:r>
              <w:rPr>
                <w:rFonts w:hint="eastAsia" w:ascii="宋体" w:hAnsi="宋体" w:eastAsia="微软雅黑" w:cs="宋体"/>
                <w:color w:val="auto"/>
                <w:kern w:val="0"/>
                <w:sz w:val="24"/>
                <w:szCs w:val="24"/>
                <w:lang w:val="en-US" w:eastAsia="zh-CN" w:bidi="ar-SA"/>
              </w:rPr>
              <w:t>盒</w:t>
            </w:r>
          </w:p>
        </w:tc>
        <w:tc>
          <w:tcPr>
            <w:tcW w:w="1001" w:type="pct"/>
            <w:vAlign w:val="center"/>
          </w:tcPr>
          <w:p>
            <w:pPr>
              <w:jc w:val="center"/>
              <w:textAlignment w:val="center"/>
              <w:rPr>
                <w:rFonts w:hint="eastAsia" w:cs="Arial"/>
                <w:color w:val="000000"/>
                <w:sz w:val="24"/>
              </w:rPr>
            </w:pPr>
          </w:p>
        </w:tc>
        <w:tc>
          <w:tcPr>
            <w:tcW w:w="1278" w:type="pct"/>
            <w:vMerge w:val="continue"/>
            <w:tcBorders/>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57" w:type="pct"/>
            <w:vMerge w:val="continue"/>
            <w:tcBorders/>
            <w:vAlign w:val="center"/>
          </w:tcPr>
          <w:p>
            <w:pPr>
              <w:jc w:val="center"/>
              <w:textAlignment w:val="center"/>
              <w:rPr>
                <w:rFonts w:cs="Arial"/>
                <w:color w:val="000000"/>
                <w:sz w:val="24"/>
              </w:rPr>
            </w:pPr>
          </w:p>
        </w:tc>
        <w:tc>
          <w:tcPr>
            <w:tcW w:w="2262" w:type="pct"/>
            <w:vAlign w:val="center"/>
          </w:tcPr>
          <w:p>
            <w:pPr>
              <w:pStyle w:val="8"/>
              <w:numPr>
                <w:ilvl w:val="0"/>
                <w:numId w:val="0"/>
              </w:numPr>
              <w:bidi w:val="0"/>
              <w:jc w:val="center"/>
              <w:rPr>
                <w:rFonts w:ascii="宋体" w:hAnsi="宋体" w:eastAsia="微软雅黑" w:cs="宋体"/>
                <w:color w:val="auto"/>
                <w:kern w:val="0"/>
                <w:sz w:val="24"/>
                <w:szCs w:val="24"/>
                <w:lang w:val="en-US" w:eastAsia="zh-CN" w:bidi="ar-SA"/>
              </w:rPr>
            </w:pPr>
            <w:r>
              <w:rPr>
                <w:rFonts w:ascii="宋体" w:hAnsi="宋体" w:eastAsia="微软雅黑" w:cs="宋体"/>
                <w:color w:val="auto"/>
                <w:kern w:val="0"/>
                <w:sz w:val="24"/>
                <w:szCs w:val="24"/>
                <w:lang w:val="en-US" w:eastAsia="zh-CN" w:bidi="ar-SA"/>
              </w:rPr>
              <w:t>新型隐球菌荚膜多糖检测试剂盒</w:t>
            </w:r>
          </w:p>
        </w:tc>
        <w:tc>
          <w:tcPr>
            <w:tcW w:w="1001" w:type="pct"/>
            <w:vAlign w:val="center"/>
          </w:tcPr>
          <w:p>
            <w:pPr>
              <w:jc w:val="center"/>
              <w:textAlignment w:val="center"/>
              <w:rPr>
                <w:rFonts w:hint="eastAsia" w:cs="Arial"/>
                <w:color w:val="000000"/>
                <w:sz w:val="24"/>
              </w:rPr>
            </w:pPr>
          </w:p>
        </w:tc>
        <w:tc>
          <w:tcPr>
            <w:tcW w:w="1278" w:type="pct"/>
            <w:vMerge w:val="continue"/>
            <w:tcBorders/>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57" w:type="pct"/>
            <w:vMerge w:val="continue"/>
            <w:tcBorders/>
            <w:vAlign w:val="center"/>
          </w:tcPr>
          <w:p>
            <w:pPr>
              <w:jc w:val="center"/>
              <w:textAlignment w:val="center"/>
              <w:rPr>
                <w:rFonts w:cs="Arial"/>
                <w:color w:val="000000"/>
                <w:sz w:val="24"/>
              </w:rPr>
            </w:pPr>
          </w:p>
        </w:tc>
        <w:tc>
          <w:tcPr>
            <w:tcW w:w="2262" w:type="pct"/>
            <w:vAlign w:val="center"/>
          </w:tcPr>
          <w:p>
            <w:pPr>
              <w:jc w:val="center"/>
              <w:textAlignment w:val="center"/>
              <w:rPr>
                <w:rFonts w:ascii="宋体" w:hAnsi="宋体" w:cs="宋体"/>
                <w:sz w:val="24"/>
                <w:szCs w:val="24"/>
                <w:lang w:val="en-US" w:eastAsia="zh-CN"/>
              </w:rPr>
            </w:pPr>
            <w:r>
              <w:rPr>
                <w:rFonts w:ascii="宋体" w:hAnsi="宋体" w:cs="宋体"/>
                <w:sz w:val="24"/>
                <w:szCs w:val="24"/>
                <w:lang w:val="en-US" w:eastAsia="zh-CN"/>
              </w:rPr>
              <w:t>全自动开放式一体机</w:t>
            </w:r>
          </w:p>
        </w:tc>
        <w:tc>
          <w:tcPr>
            <w:tcW w:w="1001" w:type="pct"/>
            <w:vAlign w:val="center"/>
          </w:tcPr>
          <w:p>
            <w:pPr>
              <w:jc w:val="center"/>
              <w:textAlignment w:val="center"/>
              <w:rPr>
                <w:rFonts w:hint="eastAsia" w:cs="Arial"/>
                <w:color w:val="000000"/>
                <w:sz w:val="24"/>
              </w:rPr>
            </w:pPr>
          </w:p>
        </w:tc>
        <w:tc>
          <w:tcPr>
            <w:tcW w:w="1278" w:type="pct"/>
            <w:vMerge w:val="continue"/>
            <w:tcBorders/>
            <w:vAlign w:val="center"/>
          </w:tcPr>
          <w:p>
            <w:pPr>
              <w:jc w:val="center"/>
              <w:textAlignment w:val="center"/>
              <w:rPr>
                <w:rFonts w:cs="Arial"/>
                <w:color w:val="000000"/>
                <w:sz w:val="24"/>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w:t>
      </w:r>
    </w:p>
    <w:p>
      <w:pPr>
        <w:spacing w:line="360" w:lineRule="auto"/>
        <w:rPr>
          <w:rFonts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ascii="宋体" w:hAnsi="宋体" w:cs="宋体"/>
          <w:bCs/>
          <w:color w:val="000000"/>
          <w:sz w:val="24"/>
        </w:rPr>
      </w:pPr>
      <w:r>
        <w:rPr>
          <w:rFonts w:hint="eastAsia" w:ascii="宋体" w:hAnsi="宋体" w:cs="宋体"/>
          <w:bCs/>
          <w:color w:val="000000"/>
          <w:sz w:val="24"/>
        </w:rPr>
        <w:t>（4）近三年内（2018年6月1日至今）谈判响应方或其法定代表人被人民法院判处行贿罪或被人民检察院/中华人民共和国国家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cs="Arial"/>
          <w:color w:val="000000"/>
          <w:sz w:val="24"/>
        </w:rPr>
      </w:pPr>
      <w:r>
        <w:rPr>
          <w:rFonts w:hint="eastAsia" w:ascii="宋体" w:hAnsi="宋体"/>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（4）近三年内（2018年6月1日至今）谈判响应方或其法定代表人未被人民法院判处行贿罪或被人民检察院/中华人民共和国国家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w:t>
      </w:r>
      <w:r>
        <w:rPr>
          <w:rFonts w:hint="eastAsia" w:cs="Arial"/>
          <w:color w:val="000000"/>
          <w:sz w:val="24"/>
          <w:lang w:val="en-US" w:eastAsia="zh-CN"/>
        </w:rPr>
        <w:t>年6月25</w:t>
      </w:r>
      <w:r>
        <w:rPr>
          <w:rFonts w:hint="eastAsia" w:cs="Arial"/>
          <w:color w:val="000000"/>
          <w:sz w:val="24"/>
        </w:rPr>
        <w:t>日至2021年</w:t>
      </w:r>
      <w:r>
        <w:rPr>
          <w:rFonts w:hint="eastAsia" w:cs="Arial"/>
          <w:color w:val="000000"/>
          <w:sz w:val="24"/>
          <w:lang w:val="en-US" w:eastAsia="zh-CN"/>
        </w:rPr>
        <w:t>7</w:t>
      </w:r>
      <w:r>
        <w:rPr>
          <w:rFonts w:hint="eastAsia" w:cs="Arial"/>
          <w:color w:val="000000"/>
          <w:sz w:val="24"/>
        </w:rPr>
        <w:t>月</w:t>
      </w:r>
      <w:r>
        <w:rPr>
          <w:rFonts w:hint="eastAsia" w:cs="Arial"/>
          <w:color w:val="000000"/>
          <w:sz w:val="24"/>
          <w:lang w:val="en-US" w:eastAsia="zh-CN"/>
        </w:rPr>
        <w:t>1</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六、报名联系人：张老师，联系电话：0553-2871845。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bookmarkEnd w:id="0"/>
    <w:p>
      <w:pPr>
        <w:jc w:val="center"/>
        <w:rPr>
          <w:rFonts w:ascii="仿宋_GB2312" w:hAnsi="宋体" w:eastAsia="仿宋_GB2312"/>
          <w:b/>
          <w:bCs/>
          <w:spacing w:val="-2"/>
          <w:sz w:val="44"/>
          <w:szCs w:val="44"/>
        </w:rPr>
      </w:pP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25DC8"/>
    <w:rsid w:val="00323B43"/>
    <w:rsid w:val="00351537"/>
    <w:rsid w:val="003A28CE"/>
    <w:rsid w:val="003D37D8"/>
    <w:rsid w:val="00426133"/>
    <w:rsid w:val="004358AB"/>
    <w:rsid w:val="004A3B8E"/>
    <w:rsid w:val="0053694A"/>
    <w:rsid w:val="005455D2"/>
    <w:rsid w:val="006011F6"/>
    <w:rsid w:val="00687FB5"/>
    <w:rsid w:val="007612A0"/>
    <w:rsid w:val="008B7726"/>
    <w:rsid w:val="00976744"/>
    <w:rsid w:val="00B67DB8"/>
    <w:rsid w:val="00BD6735"/>
    <w:rsid w:val="00C00769"/>
    <w:rsid w:val="00D31D50"/>
    <w:rsid w:val="00D47080"/>
    <w:rsid w:val="00DC5025"/>
    <w:rsid w:val="00E472BF"/>
    <w:rsid w:val="00FE4B1A"/>
    <w:rsid w:val="00FE65A4"/>
    <w:rsid w:val="6B84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 w:type="paragraph" w:customStyle="1" w:styleId="8">
    <w:name w:val="正文1"/>
    <w:qFormat/>
    <w:uiPriority w:val="0"/>
    <w:pPr>
      <w:widowControl w:val="0"/>
      <w:suppressAutoHyphens w:val="0"/>
      <w:bidi w:val="0"/>
      <w:jc w:val="both"/>
    </w:pPr>
    <w:rPr>
      <w:rFonts w:asciiTheme="minorHAnsi" w:hAnsiTheme="minorHAnsi" w:eastAsiaTheme="minorEastAsia" w:cstheme="minorBidi"/>
      <w:color w:val="auto"/>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257</Words>
  <Characters>1467</Characters>
  <Lines>12</Lines>
  <Paragraphs>3</Paragraphs>
  <TotalTime>40</TotalTime>
  <ScaleCrop>false</ScaleCrop>
  <LinksUpToDate>false</LinksUpToDate>
  <CharactersWithSpaces>1721</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2021-06-25T01:13:07Z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C6426BB40CDD4DEFB51DD57B77A84CF5</vt:lpwstr>
  </property>
</Properties>
</file>